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918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18A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800497" w:rsidRPr="002702E7" w:rsidRDefault="00800497" w:rsidP="00800497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23C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23C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3260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23CF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3260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CELLULAR MOBILE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223CFE" w:rsidRDefault="005527A4" w:rsidP="005527A4">
      <w:pPr>
        <w:rPr>
          <w:spacing w:val="2"/>
          <w:kern w:val="20"/>
        </w:rPr>
      </w:pPr>
    </w:p>
    <w:p w:rsidR="005527A4" w:rsidRPr="00223CFE" w:rsidRDefault="005527A4" w:rsidP="005527A4">
      <w:pPr>
        <w:jc w:val="center"/>
        <w:rPr>
          <w:b/>
          <w:spacing w:val="2"/>
          <w:kern w:val="20"/>
          <w:u w:val="single"/>
        </w:rPr>
      </w:pPr>
      <w:r w:rsidRPr="00223CFE">
        <w:rPr>
          <w:b/>
          <w:spacing w:val="2"/>
          <w:kern w:val="20"/>
          <w:u w:val="single"/>
        </w:rPr>
        <w:t>ANSWER ALL QUESTIONS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223CF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23CFE" w:rsidRDefault="005D0F4A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23CFE" w:rsidRDefault="005D0F4A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223CFE" w:rsidRDefault="005D0F4A" w:rsidP="00C81140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223CFE" w:rsidRDefault="005D0F4A" w:rsidP="00670A67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 xml:space="preserve">Course </w:t>
            </w:r>
          </w:p>
          <w:p w:rsidR="005D0F4A" w:rsidRPr="00223CFE" w:rsidRDefault="005D0F4A" w:rsidP="00670A67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23CFE" w:rsidRDefault="005D0F4A" w:rsidP="00670A67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Marks</w:t>
            </w:r>
          </w:p>
        </w:tc>
      </w:tr>
      <w:tr w:rsidR="005D0F4A" w:rsidRPr="00223CF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23CFE" w:rsidRDefault="005D0F4A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223CFE" w:rsidRDefault="005D0F4A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23CFE" w:rsidRDefault="00754CF0" w:rsidP="00670A67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 xml:space="preserve">Define Multiplexing. Explain in detail about </w:t>
            </w:r>
            <w:r w:rsidR="00D0328C" w:rsidRPr="00223CFE">
              <w:rPr>
                <w:spacing w:val="2"/>
                <w:kern w:val="20"/>
              </w:rPr>
              <w:t>different types of multiplexing.</w:t>
            </w:r>
          </w:p>
        </w:tc>
        <w:tc>
          <w:tcPr>
            <w:tcW w:w="1116" w:type="dxa"/>
            <w:shd w:val="clear" w:color="auto" w:fill="auto"/>
          </w:tcPr>
          <w:p w:rsidR="005D0F4A" w:rsidRPr="00223CFE" w:rsidRDefault="00D0328C" w:rsidP="00AA3F2E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23CFE" w:rsidRDefault="00D0328C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15</w:t>
            </w:r>
          </w:p>
        </w:tc>
      </w:tr>
      <w:tr w:rsidR="005D0F4A" w:rsidRPr="00223CF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23CFE" w:rsidRDefault="005D0F4A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223CFE" w:rsidRDefault="005D0F4A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23CFE" w:rsidRDefault="00462B56" w:rsidP="00223CFE">
            <w:pPr>
              <w:jc w:val="both"/>
              <w:rPr>
                <w:spacing w:val="2"/>
                <w:kern w:val="20"/>
              </w:rPr>
            </w:pPr>
            <w:r w:rsidRPr="005521E7">
              <w:rPr>
                <w:spacing w:val="2"/>
                <w:kern w:val="20"/>
              </w:rPr>
              <w:t>Under the free-space path-loss model, what is the transmit power required to obtain</w:t>
            </w:r>
            <w:r w:rsidR="00223CFE" w:rsidRPr="005521E7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a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5521E7">
              <w:rPr>
                <w:spacing w:val="2"/>
                <w:kern w:val="20"/>
              </w:rPr>
              <w:t>received</w:t>
            </w:r>
            <w:r w:rsidR="00223CFE" w:rsidRPr="005521E7">
              <w:rPr>
                <w:spacing w:val="2"/>
                <w:kern w:val="20"/>
              </w:rPr>
              <w:t xml:space="preserve"> </w:t>
            </w:r>
            <w:r w:rsidRPr="005521E7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power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of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1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dBm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for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a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wireless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5521E7">
              <w:rPr>
                <w:spacing w:val="2"/>
                <w:kern w:val="20"/>
              </w:rPr>
              <w:t>system</w:t>
            </w:r>
            <w:r w:rsidR="00223CFE" w:rsidRPr="005521E7">
              <w:rPr>
                <w:spacing w:val="2"/>
                <w:kern w:val="20"/>
              </w:rPr>
              <w:t xml:space="preserve"> </w:t>
            </w:r>
            <w:r w:rsidRPr="005521E7">
              <w:rPr>
                <w:spacing w:val="2"/>
                <w:kern w:val="20"/>
              </w:rPr>
              <w:t>with</w:t>
            </w:r>
            <w:r w:rsidR="00223CFE" w:rsidRPr="005521E7">
              <w:rPr>
                <w:spacing w:val="2"/>
                <w:kern w:val="20"/>
              </w:rPr>
              <w:t xml:space="preserve"> </w:t>
            </w:r>
            <w:r w:rsidRPr="005521E7">
              <w:rPr>
                <w:spacing w:val="2"/>
                <w:kern w:val="20"/>
              </w:rPr>
              <w:t>isotropic</w:t>
            </w:r>
            <w:r w:rsidR="00223CFE" w:rsidRPr="005521E7">
              <w:rPr>
                <w:spacing w:val="2"/>
                <w:kern w:val="20"/>
              </w:rPr>
              <w:t xml:space="preserve"> </w:t>
            </w:r>
            <w:r w:rsidRPr="005521E7">
              <w:rPr>
                <w:spacing w:val="2"/>
                <w:kern w:val="20"/>
              </w:rPr>
              <w:t>antennas(gainis1)</w:t>
            </w:r>
            <w:r w:rsidR="00223CFE" w:rsidRPr="005521E7">
              <w:rPr>
                <w:spacing w:val="2"/>
                <w:kern w:val="20"/>
              </w:rPr>
              <w:t xml:space="preserve"> </w:t>
            </w:r>
            <w:r w:rsidRPr="005521E7">
              <w:rPr>
                <w:spacing w:val="2"/>
                <w:kern w:val="20"/>
              </w:rPr>
              <w:t>and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a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carrier frequency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of 5GHz,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assuming a</w:t>
            </w:r>
            <w:r w:rsidRPr="005521E7">
              <w:rPr>
                <w:spacing w:val="2"/>
                <w:kern w:val="20"/>
              </w:rPr>
              <w:t>di</w:t>
            </w:r>
            <w:r w:rsidRPr="00223CFE">
              <w:rPr>
                <w:spacing w:val="2"/>
                <w:kern w:val="20"/>
              </w:rPr>
              <w:t>s</w:t>
            </w:r>
            <w:r w:rsidRPr="005521E7">
              <w:rPr>
                <w:spacing w:val="2"/>
                <w:kern w:val="20"/>
              </w:rPr>
              <w:t>tance</w:t>
            </w:r>
            <w:r w:rsidR="00223CFE" w:rsidRPr="005521E7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>of</w:t>
            </w:r>
            <w:r w:rsidR="00223CFE">
              <w:rPr>
                <w:spacing w:val="2"/>
                <w:kern w:val="20"/>
              </w:rPr>
              <w:t xml:space="preserve"> </w:t>
            </w:r>
            <w:r w:rsidRPr="00223CFE">
              <w:rPr>
                <w:spacing w:val="2"/>
                <w:kern w:val="20"/>
              </w:rPr>
              <w:t xml:space="preserve">20m. </w:t>
            </w:r>
          </w:p>
        </w:tc>
        <w:tc>
          <w:tcPr>
            <w:tcW w:w="1116" w:type="dxa"/>
            <w:shd w:val="clear" w:color="auto" w:fill="auto"/>
          </w:tcPr>
          <w:p w:rsidR="005D0F4A" w:rsidRPr="00223CFE" w:rsidRDefault="00462B56" w:rsidP="00AA3F2E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223CFE" w:rsidRDefault="00462B56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5</w:t>
            </w:r>
          </w:p>
        </w:tc>
      </w:tr>
      <w:tr w:rsidR="00DE0497" w:rsidRPr="00223C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23CFE" w:rsidRDefault="00DE0497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(OR)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8E5035">
            <w:pPr>
              <w:jc w:val="both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 xml:space="preserve">In what way radio propagation on land different from that in free space? </w:t>
            </w:r>
            <w:r w:rsidRPr="00223CFE">
              <w:rPr>
                <w:color w:val="000000"/>
                <w:spacing w:val="2"/>
                <w:kern w:val="20"/>
                <w:lang w:val="en-IN" w:eastAsia="en-IN"/>
              </w:rPr>
              <w:t>Explain about the signal propagation effect and free space path loss of radio signals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14</w:t>
            </w:r>
          </w:p>
        </w:tc>
      </w:tr>
      <w:tr w:rsidR="00D73B62" w:rsidRPr="00223CF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8E5035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Write short notes on different digital modulation techniques used in communication.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6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6B064D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Distinguish SDMA, CDMA, FDMA and TDMA multiple access techniques.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10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E321F1">
            <w:pPr>
              <w:jc w:val="both"/>
              <w:rPr>
                <w:spacing w:val="2"/>
                <w:kern w:val="20"/>
              </w:rPr>
            </w:pPr>
            <w:r w:rsidRPr="00223CFE">
              <w:rPr>
                <w:color w:val="000000"/>
                <w:spacing w:val="2"/>
                <w:kern w:val="20"/>
                <w:lang w:val="en-IN" w:eastAsia="en-IN"/>
              </w:rPr>
              <w:t>Describe</w:t>
            </w:r>
            <w:r w:rsidR="005521E7">
              <w:rPr>
                <w:color w:val="000000"/>
                <w:spacing w:val="2"/>
                <w:kern w:val="20"/>
                <w:lang w:val="en-IN" w:eastAsia="en-IN"/>
              </w:rPr>
              <w:t xml:space="preserve"> </w:t>
            </w:r>
            <w:r w:rsidRPr="00223CFE">
              <w:rPr>
                <w:color w:val="000000"/>
                <w:spacing w:val="2"/>
                <w:kern w:val="20"/>
                <w:lang w:val="en-IN" w:eastAsia="en-IN"/>
              </w:rPr>
              <w:t>CDMA multiple access technique and its features with necessary diagrams.</w:t>
            </w:r>
            <w:r w:rsidRPr="00223CFE">
              <w:rPr>
                <w:bCs/>
                <w:spacing w:val="2"/>
                <w:kern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10</w:t>
            </w:r>
          </w:p>
        </w:tc>
      </w:tr>
      <w:tr w:rsidR="00D73B62" w:rsidRPr="00223C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(OR)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8262D5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Compare and contast different mobile communication technologies.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8262D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7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675130">
            <w:pPr>
              <w:jc w:val="both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With neat diagrams, explain the concept of frequency reuse applied to cellular communication.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13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670A67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Illustrate the umbrella cell approach.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5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6F1822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Sketch neatly and explain the GSM architecture and its different radio interfaces.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15</w:t>
            </w:r>
          </w:p>
        </w:tc>
      </w:tr>
      <w:tr w:rsidR="00D73B62" w:rsidRPr="00223C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(OR)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E94872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Write short note on different in channel assignment strategies.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10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D73B62" w:rsidP="005521E7">
            <w:pPr>
              <w:jc w:val="both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Discuss the effect of pathloss exponent (n=2, 3) on the frequency reuse for a cellular system with total of 250 duplex voice channels without frequency reuse. The service area is divided into 52 cells. The required signal-to-co-channel interference ratio is 12 dB. Determine (</w:t>
            </w:r>
            <w:r w:rsidR="005521E7">
              <w:rPr>
                <w:spacing w:val="2"/>
                <w:kern w:val="20"/>
              </w:rPr>
              <w:t>i</w:t>
            </w:r>
            <w:r w:rsidRPr="00223CFE">
              <w:rPr>
                <w:spacing w:val="2"/>
                <w:kern w:val="20"/>
              </w:rPr>
              <w:t>) cell cluster size, (</w:t>
            </w:r>
            <w:r w:rsidR="005521E7">
              <w:rPr>
                <w:spacing w:val="2"/>
                <w:kern w:val="20"/>
              </w:rPr>
              <w:t>ii</w:t>
            </w:r>
            <w:r w:rsidRPr="00223CFE">
              <w:rPr>
                <w:spacing w:val="2"/>
                <w:kern w:val="20"/>
              </w:rPr>
              <w:t>) the number of cell clu</w:t>
            </w:r>
            <w:r w:rsidR="005521E7">
              <w:rPr>
                <w:spacing w:val="2"/>
                <w:kern w:val="20"/>
              </w:rPr>
              <w:t>sters in the service area and (iii</w:t>
            </w:r>
            <w:r w:rsidRPr="00223CFE">
              <w:rPr>
                <w:spacing w:val="2"/>
                <w:kern w:val="20"/>
              </w:rPr>
              <w:t>) the maximum number of users in service at any point.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D73B62" w:rsidP="008E5035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D73B62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10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737F38" w:rsidP="00670A67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Point-out the features, advantages and disadvantages of GEO, LEO and MEO satellites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737F38" w:rsidP="00AA3F2E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737F38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14</w:t>
            </w:r>
          </w:p>
        </w:tc>
      </w:tr>
      <w:tr w:rsidR="00D73B62" w:rsidRPr="00223C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D73B62" w:rsidRPr="00223CFE" w:rsidRDefault="002B0D6E" w:rsidP="00670A67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Brief about the different architecture</w:t>
            </w:r>
            <w:r w:rsidR="00CE046D" w:rsidRPr="00223CFE">
              <w:rPr>
                <w:spacing w:val="2"/>
                <w:kern w:val="20"/>
              </w:rPr>
              <w:t>s</w:t>
            </w:r>
            <w:r w:rsidRPr="00223CFE">
              <w:rPr>
                <w:spacing w:val="2"/>
                <w:kern w:val="20"/>
              </w:rPr>
              <w:t xml:space="preserve"> of IEEE 802.11.</w:t>
            </w:r>
          </w:p>
        </w:tc>
        <w:tc>
          <w:tcPr>
            <w:tcW w:w="1116" w:type="dxa"/>
            <w:shd w:val="clear" w:color="auto" w:fill="auto"/>
          </w:tcPr>
          <w:p w:rsidR="00D73B62" w:rsidRPr="00223CFE" w:rsidRDefault="002B0D6E" w:rsidP="00AA3F2E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73B62" w:rsidRPr="00223CFE" w:rsidRDefault="002B0D6E" w:rsidP="00670A67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6</w:t>
            </w:r>
          </w:p>
        </w:tc>
      </w:tr>
      <w:tr w:rsidR="00D73B62" w:rsidRPr="00223CF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73B62" w:rsidRPr="00223CFE" w:rsidRDefault="00D73B62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(OR)</w:t>
            </w:r>
          </w:p>
        </w:tc>
      </w:tr>
      <w:tr w:rsidR="00D07076" w:rsidRPr="00223C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7076" w:rsidRPr="00223CFE" w:rsidRDefault="00D07076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D07076" w:rsidRPr="00223CFE" w:rsidRDefault="00D07076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D07076" w:rsidRPr="00223CFE" w:rsidRDefault="00D07076" w:rsidP="008E5035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Draw the 3 dimensional reference model of WATM and explain the functions of each layer and plane.</w:t>
            </w:r>
          </w:p>
        </w:tc>
        <w:tc>
          <w:tcPr>
            <w:tcW w:w="1116" w:type="dxa"/>
            <w:shd w:val="clear" w:color="auto" w:fill="auto"/>
          </w:tcPr>
          <w:p w:rsidR="00D07076" w:rsidRPr="00223CFE" w:rsidRDefault="00D07076" w:rsidP="008E5035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7076" w:rsidRPr="00223CFE" w:rsidRDefault="00D07076" w:rsidP="008E5035">
            <w:pPr>
              <w:ind w:left="542" w:right="-90" w:hanging="542"/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15</w:t>
            </w:r>
          </w:p>
        </w:tc>
      </w:tr>
      <w:tr w:rsidR="00D07076" w:rsidRPr="00223C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07076" w:rsidRPr="00223CFE" w:rsidRDefault="00D07076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07076" w:rsidRPr="00223CFE" w:rsidRDefault="00D07076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D07076" w:rsidRPr="00223CFE" w:rsidRDefault="00D07076" w:rsidP="008E5035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Name the two Wireless ATM working group and list out their roles.</w:t>
            </w:r>
          </w:p>
        </w:tc>
        <w:tc>
          <w:tcPr>
            <w:tcW w:w="1116" w:type="dxa"/>
            <w:shd w:val="clear" w:color="auto" w:fill="auto"/>
          </w:tcPr>
          <w:p w:rsidR="00D07076" w:rsidRPr="00223CFE" w:rsidRDefault="00D07076" w:rsidP="008E5035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07076" w:rsidRPr="00223CFE" w:rsidRDefault="00D07076" w:rsidP="008E5035">
            <w:pPr>
              <w:ind w:left="542" w:right="-90" w:hanging="542"/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5</w:t>
            </w:r>
          </w:p>
        </w:tc>
      </w:tr>
      <w:tr w:rsidR="00D07076" w:rsidRPr="00223CF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07076" w:rsidRPr="00223CFE" w:rsidRDefault="00D07076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6950" w:type="dxa"/>
            <w:shd w:val="clear" w:color="auto" w:fill="auto"/>
          </w:tcPr>
          <w:p w:rsidR="00D07076" w:rsidRPr="00223CFE" w:rsidRDefault="00D07076" w:rsidP="00670A67">
            <w:pPr>
              <w:rPr>
                <w:spacing w:val="2"/>
                <w:kern w:val="20"/>
                <w:u w:val="single"/>
              </w:rPr>
            </w:pPr>
            <w:r w:rsidRPr="00223CFE">
              <w:rPr>
                <w:b/>
                <w:spacing w:val="2"/>
                <w:kern w:val="20"/>
                <w:u w:val="single"/>
              </w:rPr>
              <w:t>Compulsory</w:t>
            </w:r>
            <w:r w:rsidRPr="00223CFE">
              <w:rPr>
                <w:spacing w:val="2"/>
                <w:kern w:val="20"/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07076" w:rsidRPr="00223CFE" w:rsidRDefault="00D07076" w:rsidP="00AA3F2E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07076" w:rsidRPr="00223CFE" w:rsidRDefault="00D07076" w:rsidP="00670A67">
            <w:pPr>
              <w:jc w:val="center"/>
              <w:rPr>
                <w:spacing w:val="2"/>
                <w:kern w:val="20"/>
              </w:rPr>
            </w:pPr>
          </w:p>
        </w:tc>
      </w:tr>
      <w:tr w:rsidR="00170B5B" w:rsidRPr="00223C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0B5B" w:rsidRPr="00223CFE" w:rsidRDefault="00170B5B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9.</w:t>
            </w:r>
          </w:p>
        </w:tc>
        <w:tc>
          <w:tcPr>
            <w:tcW w:w="709" w:type="dxa"/>
            <w:shd w:val="clear" w:color="auto" w:fill="auto"/>
          </w:tcPr>
          <w:p w:rsidR="00170B5B" w:rsidRPr="00223CFE" w:rsidRDefault="00170B5B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170B5B" w:rsidRPr="00223CFE" w:rsidRDefault="00170B5B" w:rsidP="008E5035">
            <w:pPr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Discuss on different t</w:t>
            </w:r>
            <w:bookmarkStart w:id="0" w:name="_GoBack"/>
            <w:bookmarkEnd w:id="0"/>
            <w:r w:rsidRPr="00223CFE">
              <w:rPr>
                <w:spacing w:val="2"/>
                <w:kern w:val="20"/>
              </w:rPr>
              <w:t>ypes of routing protocols in Mobile Adhoc Network.</w:t>
            </w:r>
          </w:p>
        </w:tc>
        <w:tc>
          <w:tcPr>
            <w:tcW w:w="1116" w:type="dxa"/>
            <w:shd w:val="clear" w:color="auto" w:fill="auto"/>
          </w:tcPr>
          <w:p w:rsidR="00170B5B" w:rsidRPr="00223CFE" w:rsidRDefault="00170B5B" w:rsidP="008E5035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0B5B" w:rsidRPr="00223CFE" w:rsidRDefault="00170B5B" w:rsidP="008E5035">
            <w:pPr>
              <w:ind w:left="542" w:right="-90" w:hanging="542"/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6</w:t>
            </w:r>
          </w:p>
        </w:tc>
      </w:tr>
      <w:tr w:rsidR="00170B5B" w:rsidRPr="00223C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0B5B" w:rsidRPr="00223CFE" w:rsidRDefault="00170B5B" w:rsidP="00223CFE">
            <w:pPr>
              <w:jc w:val="center"/>
              <w:rPr>
                <w:spacing w:val="2"/>
                <w:kern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70B5B" w:rsidRPr="00223CFE" w:rsidRDefault="00170B5B" w:rsidP="00223CFE">
            <w:pPr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170B5B" w:rsidRPr="00223CFE" w:rsidRDefault="00170B5B" w:rsidP="00170B5B">
            <w:pPr>
              <w:pStyle w:val="ListParagraph"/>
              <w:ind w:left="0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Illustrate the functioning of Dynamic Source Routing (DSR) in Mobile Adhoc Network.</w:t>
            </w:r>
          </w:p>
        </w:tc>
        <w:tc>
          <w:tcPr>
            <w:tcW w:w="1116" w:type="dxa"/>
            <w:shd w:val="clear" w:color="auto" w:fill="auto"/>
          </w:tcPr>
          <w:p w:rsidR="00170B5B" w:rsidRPr="00223CFE" w:rsidRDefault="00170B5B" w:rsidP="008E5035">
            <w:pPr>
              <w:jc w:val="center"/>
              <w:rPr>
                <w:spacing w:val="2"/>
                <w:kern w:val="20"/>
                <w:sz w:val="22"/>
                <w:szCs w:val="22"/>
              </w:rPr>
            </w:pPr>
            <w:r w:rsidRPr="00223CFE">
              <w:rPr>
                <w:spacing w:val="2"/>
                <w:kern w:val="20"/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70B5B" w:rsidRPr="00223CFE" w:rsidRDefault="00170B5B" w:rsidP="008E5035">
            <w:pPr>
              <w:ind w:left="542" w:right="-90" w:hanging="542"/>
              <w:jc w:val="center"/>
              <w:rPr>
                <w:spacing w:val="2"/>
                <w:kern w:val="20"/>
              </w:rPr>
            </w:pPr>
            <w:r w:rsidRPr="00223CFE">
              <w:rPr>
                <w:spacing w:val="2"/>
                <w:kern w:val="20"/>
              </w:rPr>
              <w:t>14</w:t>
            </w:r>
          </w:p>
        </w:tc>
      </w:tr>
    </w:tbl>
    <w:p w:rsidR="005527A4" w:rsidRPr="00223CFE" w:rsidRDefault="005527A4" w:rsidP="005527A4">
      <w:pPr>
        <w:rPr>
          <w:spacing w:val="2"/>
          <w:kern w:val="20"/>
        </w:rPr>
      </w:pPr>
    </w:p>
    <w:p w:rsidR="00D3698C" w:rsidRPr="00223CFE" w:rsidRDefault="00D3698C" w:rsidP="002E336A">
      <w:pPr>
        <w:jc w:val="center"/>
        <w:rPr>
          <w:spacing w:val="2"/>
          <w:kern w:val="20"/>
        </w:rPr>
      </w:pPr>
    </w:p>
    <w:p w:rsidR="00D3698C" w:rsidRPr="00223CFE" w:rsidRDefault="00D3698C" w:rsidP="00D3698C">
      <w:pPr>
        <w:ind w:left="720"/>
        <w:rPr>
          <w:spacing w:val="2"/>
          <w:kern w:val="20"/>
        </w:rPr>
      </w:pPr>
    </w:p>
    <w:p w:rsidR="002E336A" w:rsidRPr="00223CFE" w:rsidRDefault="002E336A" w:rsidP="002E336A">
      <w:pPr>
        <w:rPr>
          <w:spacing w:val="2"/>
          <w:kern w:val="20"/>
        </w:rPr>
      </w:pPr>
    </w:p>
    <w:sectPr w:rsidR="002E336A" w:rsidRPr="00223CFE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26C59"/>
    <w:rsid w:val="00170B5B"/>
    <w:rsid w:val="001D41FE"/>
    <w:rsid w:val="001D670F"/>
    <w:rsid w:val="001E2222"/>
    <w:rsid w:val="001F54D1"/>
    <w:rsid w:val="001F7E9B"/>
    <w:rsid w:val="00223CFE"/>
    <w:rsid w:val="002B0D6E"/>
    <w:rsid w:val="002D09FF"/>
    <w:rsid w:val="002D7611"/>
    <w:rsid w:val="002D76BB"/>
    <w:rsid w:val="002E336A"/>
    <w:rsid w:val="002E552A"/>
    <w:rsid w:val="00304757"/>
    <w:rsid w:val="00321013"/>
    <w:rsid w:val="00324247"/>
    <w:rsid w:val="00332600"/>
    <w:rsid w:val="00380146"/>
    <w:rsid w:val="003855F1"/>
    <w:rsid w:val="003B14BC"/>
    <w:rsid w:val="003B1F06"/>
    <w:rsid w:val="003C6BB4"/>
    <w:rsid w:val="003D2E93"/>
    <w:rsid w:val="00462B56"/>
    <w:rsid w:val="0046314C"/>
    <w:rsid w:val="0046787F"/>
    <w:rsid w:val="00495B1D"/>
    <w:rsid w:val="004F787A"/>
    <w:rsid w:val="00501F18"/>
    <w:rsid w:val="005046AD"/>
    <w:rsid w:val="0050571C"/>
    <w:rsid w:val="005133D7"/>
    <w:rsid w:val="005521E7"/>
    <w:rsid w:val="005527A4"/>
    <w:rsid w:val="005814FF"/>
    <w:rsid w:val="00593DF3"/>
    <w:rsid w:val="005D0F4A"/>
    <w:rsid w:val="005F011C"/>
    <w:rsid w:val="0062605C"/>
    <w:rsid w:val="00634D6D"/>
    <w:rsid w:val="00670A67"/>
    <w:rsid w:val="00675130"/>
    <w:rsid w:val="00681B25"/>
    <w:rsid w:val="006B064D"/>
    <w:rsid w:val="006C4E61"/>
    <w:rsid w:val="006C7354"/>
    <w:rsid w:val="006F1822"/>
    <w:rsid w:val="00725A0A"/>
    <w:rsid w:val="007326F6"/>
    <w:rsid w:val="00737F38"/>
    <w:rsid w:val="00754CF0"/>
    <w:rsid w:val="007A4C79"/>
    <w:rsid w:val="007D21EE"/>
    <w:rsid w:val="00800497"/>
    <w:rsid w:val="00802202"/>
    <w:rsid w:val="0081627E"/>
    <w:rsid w:val="00875196"/>
    <w:rsid w:val="008A56BE"/>
    <w:rsid w:val="008B0703"/>
    <w:rsid w:val="008F429E"/>
    <w:rsid w:val="00904D12"/>
    <w:rsid w:val="009172DA"/>
    <w:rsid w:val="0095679B"/>
    <w:rsid w:val="009A7263"/>
    <w:rsid w:val="009B53DD"/>
    <w:rsid w:val="009C5A1D"/>
    <w:rsid w:val="00A06A06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BF3164"/>
    <w:rsid w:val="00C25EB2"/>
    <w:rsid w:val="00C3743D"/>
    <w:rsid w:val="00C60C6A"/>
    <w:rsid w:val="00C81140"/>
    <w:rsid w:val="00C95F18"/>
    <w:rsid w:val="00CB2395"/>
    <w:rsid w:val="00CB7A50"/>
    <w:rsid w:val="00CE046D"/>
    <w:rsid w:val="00CE1825"/>
    <w:rsid w:val="00CE42A6"/>
    <w:rsid w:val="00CE5503"/>
    <w:rsid w:val="00D0328C"/>
    <w:rsid w:val="00D07076"/>
    <w:rsid w:val="00D3698C"/>
    <w:rsid w:val="00D62341"/>
    <w:rsid w:val="00D64FF9"/>
    <w:rsid w:val="00D73B62"/>
    <w:rsid w:val="00D94D54"/>
    <w:rsid w:val="00DE0497"/>
    <w:rsid w:val="00E321F1"/>
    <w:rsid w:val="00E70A47"/>
    <w:rsid w:val="00E824B7"/>
    <w:rsid w:val="00E918AB"/>
    <w:rsid w:val="00E94872"/>
    <w:rsid w:val="00EE374E"/>
    <w:rsid w:val="00F11EDB"/>
    <w:rsid w:val="00F162EA"/>
    <w:rsid w:val="00F208C0"/>
    <w:rsid w:val="00F266A7"/>
    <w:rsid w:val="00F55D6F"/>
    <w:rsid w:val="00F83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788A-7692-4DAC-81C0-5AB50CEB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2017-03-23T10:25:00Z</cp:lastPrinted>
  <dcterms:created xsi:type="dcterms:W3CDTF">2017-03-22T08:28:00Z</dcterms:created>
  <dcterms:modified xsi:type="dcterms:W3CDTF">2017-06-14T04:54:00Z</dcterms:modified>
</cp:coreProperties>
</file>